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17F2A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17F2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"Обзор судебной практики Верховного Суда Российской Федерации N 2 (2019)"</w:t>
            </w:r>
            <w:r>
              <w:rPr>
                <w:sz w:val="48"/>
                <w:szCs w:val="48"/>
              </w:rPr>
              <w:br/>
              <w:t>(утв. Президиумом Верховного Суда РФ 17.07.2019)</w:t>
            </w:r>
          </w:p>
          <w:p w:rsidR="00D17F2A" w:rsidRDefault="00D17F2A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(Выдержка)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17F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17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17F2A">
      <w:pPr>
        <w:pStyle w:val="ConsPlusNormal"/>
        <w:jc w:val="both"/>
        <w:outlineLvl w:val="0"/>
      </w:pPr>
    </w:p>
    <w:p w:rsidR="00000000" w:rsidRDefault="00D17F2A">
      <w:pPr>
        <w:pStyle w:val="ConsPlusNormal"/>
        <w:jc w:val="right"/>
      </w:pPr>
      <w:r>
        <w:t>Утвержден</w:t>
      </w:r>
    </w:p>
    <w:p w:rsidR="00000000" w:rsidRDefault="00D17F2A">
      <w:pPr>
        <w:pStyle w:val="ConsPlusNormal"/>
        <w:jc w:val="right"/>
      </w:pPr>
      <w:r>
        <w:t>Президиумом Верховного Суда</w:t>
      </w:r>
    </w:p>
    <w:p w:rsidR="00000000" w:rsidRDefault="00D17F2A">
      <w:pPr>
        <w:pStyle w:val="ConsPlusNormal"/>
        <w:jc w:val="right"/>
      </w:pPr>
      <w:r>
        <w:t>Российской Федерации</w:t>
      </w:r>
    </w:p>
    <w:p w:rsidR="00000000" w:rsidRDefault="00D17F2A">
      <w:pPr>
        <w:pStyle w:val="ConsPlusNormal"/>
        <w:jc w:val="right"/>
      </w:pPr>
      <w:r>
        <w:t>17 июля 2019 г.</w:t>
      </w:r>
    </w:p>
    <w:p w:rsidR="00000000" w:rsidRDefault="00D17F2A">
      <w:pPr>
        <w:pStyle w:val="ConsPlusNormal"/>
        <w:jc w:val="both"/>
      </w:pPr>
    </w:p>
    <w:p w:rsidR="00000000" w:rsidRDefault="00D17F2A">
      <w:pPr>
        <w:pStyle w:val="ConsPlusTitle"/>
        <w:jc w:val="center"/>
      </w:pPr>
      <w:r>
        <w:t>ОБЗОР</w:t>
      </w:r>
    </w:p>
    <w:p w:rsidR="00000000" w:rsidRDefault="00D17F2A">
      <w:pPr>
        <w:pStyle w:val="ConsPlusTitle"/>
        <w:jc w:val="center"/>
      </w:pPr>
      <w:r>
        <w:t>СУДЕБНОЙ ПРАКТИКИ ВЕРХОВНОГО СУДА РОССИЙСКОЙ ФЕДЕРАЦИИ</w:t>
      </w:r>
    </w:p>
    <w:p w:rsidR="00000000" w:rsidRDefault="00D17F2A">
      <w:pPr>
        <w:pStyle w:val="ConsPlusTitle"/>
        <w:jc w:val="center"/>
      </w:pPr>
      <w:r>
        <w:t>N 2 (2019)</w:t>
      </w:r>
    </w:p>
    <w:p w:rsidR="00000000" w:rsidRDefault="00D17F2A">
      <w:pPr>
        <w:pStyle w:val="ConsPlusNormal"/>
        <w:jc w:val="both"/>
      </w:pPr>
    </w:p>
    <w:p w:rsidR="00000000" w:rsidRDefault="00D17F2A">
      <w:pPr>
        <w:pStyle w:val="ConsPlusNormal"/>
        <w:jc w:val="right"/>
      </w:pPr>
      <w:r>
        <w:t>Определение N 304-ЭС18-11722</w:t>
      </w:r>
    </w:p>
    <w:p w:rsidR="00000000" w:rsidRDefault="00D17F2A">
      <w:pPr>
        <w:pStyle w:val="ConsPlusNormal"/>
        <w:jc w:val="both"/>
      </w:pPr>
    </w:p>
    <w:p w:rsidR="00000000" w:rsidRPr="00D17F2A" w:rsidRDefault="00D17F2A">
      <w:pPr>
        <w:pStyle w:val="ConsPlusTitle"/>
        <w:jc w:val="center"/>
        <w:outlineLvl w:val="1"/>
      </w:pPr>
      <w:r w:rsidRPr="00D17F2A">
        <w:t>Пра</w:t>
      </w:r>
      <w:r w:rsidRPr="00D17F2A">
        <w:t>ктика применения законодательства о защите конкуренции</w:t>
      </w:r>
    </w:p>
    <w:p w:rsidR="00000000" w:rsidRPr="00D17F2A" w:rsidRDefault="00D17F2A">
      <w:pPr>
        <w:pStyle w:val="ConsPlusNormal"/>
        <w:jc w:val="both"/>
      </w:pPr>
    </w:p>
    <w:p w:rsidR="00000000" w:rsidRPr="00D17F2A" w:rsidRDefault="00D17F2A">
      <w:pPr>
        <w:pStyle w:val="ConsPlusNormal"/>
        <w:ind w:firstLine="540"/>
        <w:jc w:val="both"/>
      </w:pPr>
      <w:r w:rsidRPr="00D17F2A">
        <w:t xml:space="preserve">30. </w:t>
      </w:r>
      <w:proofErr w:type="gramStart"/>
      <w:r w:rsidRPr="00D17F2A">
        <w:t>Ограничения, установленные постановлением Правительства РФ от 5 февраля 2015 г. N 102 "Об ограничениях и условиях допуска отдельных видов медицинских изделий, происходящих из иностранных государст</w:t>
      </w:r>
      <w:r w:rsidRPr="00D17F2A">
        <w:t>в, для целей осуществления закупок для обеспечения государственных и муниципальных нужд", распространяются как на договоры купли-продажи товаров, в отношении которых устанавливается ограничение допуска, так и на смешанные договоры, содержащие элементы дого</w:t>
      </w:r>
      <w:r w:rsidRPr="00D17F2A">
        <w:t>вора купли-продажи таких товаров.</w:t>
      </w:r>
      <w:proofErr w:type="gramEnd"/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 xml:space="preserve">Общество обратилось в антимонопольный орган с заявлением о нарушении заказчиком оформления аукционной документации. По мнению общества, установленные в документации ограничения допуска отдельных видов медицинских изделий, </w:t>
      </w:r>
      <w:r w:rsidRPr="00D17F2A">
        <w:t>описание объекта закупки, положения проекта контракта нарушают положения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</w:t>
      </w:r>
      <w:r w:rsidRPr="00D17F2A">
        <w:t>ФЗ).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Решением антимонопольного органа заявление общества признано необоснованным.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Не согласившись с решением антимонопольного органа, общество обратилось в арбитражный суд с заявлением о признании решения незаконным.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Решением суда первой инстанции, оставле</w:t>
      </w:r>
      <w:r w:rsidRPr="00D17F2A">
        <w:t>нным без изменения постановлениями суда апелляционной инстанции и арбитражного суда округа, в удовлетворении заявленного требования отказано.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Суды установили, что предметом проводимой закупки является поставка слуховых аппаратов, требования к которым устан</w:t>
      </w:r>
      <w:r w:rsidRPr="00D17F2A">
        <w:t xml:space="preserve">овлены в техническом задании, а также оказание услуг по слуховому протезированию, в </w:t>
      </w:r>
      <w:proofErr w:type="gramStart"/>
      <w:r w:rsidRPr="00D17F2A">
        <w:t>связи</w:t>
      </w:r>
      <w:proofErr w:type="gramEnd"/>
      <w:r w:rsidRPr="00D17F2A">
        <w:t xml:space="preserve"> с чем сочли, что контракт, заключаемый по результатам проводимой закупки, является смешанным договором, в котором присутствуют элементы договора возмездного оказания </w:t>
      </w:r>
      <w:r w:rsidRPr="00D17F2A">
        <w:t>услуг и договора поставки.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proofErr w:type="gramStart"/>
      <w:r w:rsidRPr="00D17F2A">
        <w:t>При этом суды отметили, что аукционная документация заказчика правомерно не содержит ссылок на постановление Правительства Российской Федерации от 5 февраля 2015 г. N 102 "Об ограничениях и условиях допуска отдельных видов медици</w:t>
      </w:r>
      <w:r w:rsidRPr="00D17F2A">
        <w:t xml:space="preserve">нских изделий, происходящих из иностранных государств, для целей осуществления закупок для обеспечения государственных и муниципальных нужд" (далее постановление Правительства N 102), поскольку ограничения, </w:t>
      </w:r>
      <w:r w:rsidRPr="00D17F2A">
        <w:lastRenderedPageBreak/>
        <w:t>установленные данным постановлением, распространя</w:t>
      </w:r>
      <w:r w:rsidRPr="00D17F2A">
        <w:t>ются исключительно на</w:t>
      </w:r>
      <w:proofErr w:type="gramEnd"/>
      <w:r w:rsidRPr="00D17F2A">
        <w:t xml:space="preserve"> поставку медицинских изделий, а не на оказание услуг.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Судебная коллегия Верховного Суда Российской Федерации отменила названные судебные акты и удовлетворила заявление общества по следующим основаниям.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proofErr w:type="gramStart"/>
      <w:r w:rsidRPr="00D17F2A">
        <w:t>В соответствии с ч. 1 ст. 59 Зак</w:t>
      </w:r>
      <w:r w:rsidRPr="00D17F2A">
        <w:t>она N 44-ФЗ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</w:t>
      </w:r>
      <w:r w:rsidRPr="00D17F2A">
        <w:t>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</w:t>
      </w:r>
      <w:proofErr w:type="gramEnd"/>
      <w:r w:rsidRPr="00D17F2A">
        <w:t xml:space="preserve"> ее оператором.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В силу п. 4 ст. 42 Закона N 44-ФЗ в извещении об осуществлении закуп</w:t>
      </w:r>
      <w:r w:rsidRPr="00D17F2A">
        <w:t>ки должна содержаться, если иное не предусмотрено Законом N 44-ФЗ, в том числе информация об ограничении участия в определении поставщика (подрядчика, исполнителя).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Согласно п. 7 ч. 5 ст. 63 Закона N 44-ФЗ в извещении о проведении электронного аукциона наряду с информацией, указанной в ст. 42 Закона N 44-ФЗ, обозначаются условия, запреты и ограничения допуска товаров, происходящих из иностранного государства или групп</w:t>
      </w:r>
      <w:r w:rsidRPr="00D17F2A">
        <w:t>ы иностранных государств, работ, услуг, соответственно выполняемых, оказываемых иностранными лицами.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proofErr w:type="gramStart"/>
      <w:r w:rsidRPr="00D17F2A">
        <w:t>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</w:t>
      </w:r>
      <w:r w:rsidRPr="00D17F2A">
        <w:t xml:space="preserve"> национальной экономики, поддержки российских товаропроизводителей Правительством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</w:t>
      </w:r>
      <w:r w:rsidRPr="00D17F2A">
        <w:t>ми, и ограничения допуска указанных товаров, работ, услуг для целей осуществления закупок.</w:t>
      </w:r>
      <w:proofErr w:type="gramEnd"/>
      <w:r w:rsidRPr="00D17F2A">
        <w:t xml:space="preserve"> Определение страны происхождения указанных товаров осуществляется в соответствии с законодательством Российской Федерации (ч. 3 ст. 14 Закона N 44-ФЗ).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>Постановление</w:t>
      </w:r>
      <w:r w:rsidRPr="00D17F2A">
        <w:t>м Правительства N 102 утвержден Перечень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</w:t>
      </w:r>
      <w:r w:rsidRPr="00D17F2A">
        <w:t>жд (далее - перечень).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t xml:space="preserve">К таким медицинским изделиям, согласно перечню постановления Правительства N 102 (в редакции, действующей в период проведения аукциона), относятся слуховые аппараты </w:t>
      </w:r>
      <w:proofErr w:type="spellStart"/>
      <w:r w:rsidRPr="00D17F2A">
        <w:t>неимплантируемые</w:t>
      </w:r>
      <w:proofErr w:type="spellEnd"/>
      <w:r w:rsidRPr="00D17F2A">
        <w:t xml:space="preserve"> с кодом ОКПД 26.60.14.120 по вступившему в силу </w:t>
      </w:r>
      <w:proofErr w:type="gramStart"/>
      <w:r w:rsidRPr="00D17F2A">
        <w:t>ОК</w:t>
      </w:r>
      <w:proofErr w:type="gramEnd"/>
      <w:r w:rsidRPr="00D17F2A">
        <w:t xml:space="preserve"> </w:t>
      </w:r>
      <w:r w:rsidRPr="00D17F2A">
        <w:t>034-2014, закупаемые заказчиком в рамках спорной закупки.</w:t>
      </w:r>
    </w:p>
    <w:p w:rsidR="00000000" w:rsidRPr="00D17F2A" w:rsidRDefault="00D17F2A">
      <w:pPr>
        <w:pStyle w:val="ConsPlusNormal"/>
        <w:spacing w:before="240"/>
        <w:ind w:firstLine="540"/>
        <w:jc w:val="both"/>
      </w:pPr>
      <w:proofErr w:type="gramStart"/>
      <w:r w:rsidRPr="00D17F2A">
        <w:t>Суды, исходя из буквального содержания документации об аукционе и проекта контракта, правомерно установили, что предметом закупки в данном случае являются именно закупка товаров (медицинских изделий</w:t>
      </w:r>
      <w:r w:rsidRPr="00D17F2A">
        <w:t>) и закупка услуг (слуховое протезирование), а проект контракта как неотъемлемая часть документации об аукционе не является договором оказания услуг, но относится к смешанному договору, содержащему элементы договора купли-продажи товара и возмездного оказа</w:t>
      </w:r>
      <w:r w:rsidRPr="00D17F2A">
        <w:t>ния услуг.</w:t>
      </w:r>
      <w:proofErr w:type="gramEnd"/>
    </w:p>
    <w:p w:rsidR="00000000" w:rsidRPr="00D17F2A" w:rsidRDefault="00D17F2A">
      <w:pPr>
        <w:pStyle w:val="ConsPlusNormal"/>
        <w:spacing w:before="240"/>
        <w:ind w:firstLine="540"/>
        <w:jc w:val="both"/>
      </w:pPr>
      <w:r w:rsidRPr="00D17F2A">
        <w:lastRenderedPageBreak/>
        <w:t xml:space="preserve">В связи с тем, что в рассматриваемом случае в рамках приобретения услуг по слуховому протезированию заказчиком также планировалось </w:t>
      </w:r>
      <w:proofErr w:type="gramStart"/>
      <w:r w:rsidRPr="00D17F2A">
        <w:t>осуществить</w:t>
      </w:r>
      <w:proofErr w:type="gramEnd"/>
      <w:r w:rsidRPr="00D17F2A">
        <w:t xml:space="preserve"> в том числе и закупку медицинских изделий, извещение об аукционе и аукционная документация, в соответс</w:t>
      </w:r>
      <w:r w:rsidRPr="00D17F2A">
        <w:t>твии с требованиями Закона N 44-ФЗ (п. 7 ч. 5 ст. 63), должны были отражать условия, запреты и ограничения допуска товаров, происходящих из иностранного государства, предусмотренные постановлением Правительства N 102.</w:t>
      </w:r>
    </w:p>
    <w:p w:rsidR="00000000" w:rsidRPr="00D17F2A" w:rsidRDefault="00D17F2A">
      <w:pPr>
        <w:pStyle w:val="ConsPlusNormal"/>
        <w:jc w:val="both"/>
      </w:pPr>
    </w:p>
    <w:sectPr w:rsidR="00000000" w:rsidRPr="00D17F2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F2A">
      <w:pPr>
        <w:spacing w:after="0" w:line="240" w:lineRule="auto"/>
      </w:pPr>
      <w:r>
        <w:separator/>
      </w:r>
    </w:p>
  </w:endnote>
  <w:endnote w:type="continuationSeparator" w:id="0">
    <w:p w:rsidR="00000000" w:rsidRDefault="00D1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7F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17F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F2A">
      <w:pPr>
        <w:spacing w:after="0" w:line="240" w:lineRule="auto"/>
      </w:pPr>
      <w:r>
        <w:separator/>
      </w:r>
    </w:p>
  </w:footnote>
  <w:footnote w:type="continuationSeparator" w:id="0">
    <w:p w:rsidR="00000000" w:rsidRDefault="00D1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"Обзор судебной практики Верховного Суда Российской Федерации N 2 (2019)"</w:t>
          </w:r>
          <w:r>
            <w:rPr>
              <w:sz w:val="16"/>
              <w:szCs w:val="16"/>
            </w:rPr>
            <w:br/>
            <w:t>(утв. Президиумом Верховного Суда РФ 17.07.201...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jc w:val="center"/>
          </w:pPr>
        </w:p>
        <w:p w:rsidR="00000000" w:rsidRDefault="00D17F2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F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D17F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7F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F2A"/>
    <w:rsid w:val="00D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5488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"Обзор судебной практики Верховного Суда Российской Федерации N 2 (2019)"(утв. Президиумом Верховного Суда РФ 17.07.2019)</vt:lpstr>
    </vt:vector>
  </TitlesOfParts>
  <Company>КонсультантПлюс Версия 4018.00.50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"Обзор судебной практики Верховного Суда Российской Федерации N 2 (2019)"(утв. Президиумом Верховного Суда РФ 17.07.2019)</dc:title>
  <dc:subject/>
  <dc:creator/>
  <cp:keywords/>
  <dc:description/>
  <cp:lastModifiedBy>Аукцион Консалтинг</cp:lastModifiedBy>
  <cp:revision>2</cp:revision>
  <dcterms:created xsi:type="dcterms:W3CDTF">2019-08-01T17:14:00Z</dcterms:created>
  <dcterms:modified xsi:type="dcterms:W3CDTF">2019-08-01T17:14:00Z</dcterms:modified>
</cp:coreProperties>
</file>