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096B" w14:textId="77777777" w:rsidR="00D0142B" w:rsidRDefault="00BE68B0">
      <w:pPr>
        <w:spacing w:line="360" w:lineRule="auto"/>
        <w:jc w:val="center"/>
        <w:rPr>
          <w:b/>
        </w:rPr>
      </w:pPr>
      <w:r>
        <w:rPr>
          <w:b/>
        </w:rPr>
        <w:t>О внесении изменений в Федеральный закон № 44-ФЗ</w:t>
      </w:r>
    </w:p>
    <w:p w14:paraId="0DEE13C8" w14:textId="77777777" w:rsidR="00D0142B" w:rsidRDefault="00D0142B">
      <w:pPr>
        <w:shd w:val="clear" w:color="auto" w:fill="FFFFFF"/>
        <w:spacing w:line="360" w:lineRule="auto"/>
        <w:ind w:firstLine="709"/>
        <w:jc w:val="both"/>
      </w:pPr>
    </w:p>
    <w:p w14:paraId="0179A532" w14:textId="77777777" w:rsidR="00D0142B" w:rsidRDefault="00BE68B0">
      <w:pPr>
        <w:shd w:val="clear" w:color="auto" w:fill="FFFFFF"/>
        <w:spacing w:line="360" w:lineRule="auto"/>
        <w:ind w:firstLine="709"/>
        <w:jc w:val="both"/>
      </w:pPr>
      <w:r>
        <w:t>28 апреля 2023 Президентом РФ подписан федеральный закон № 154-ФЗ «О 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14:paraId="32C311DB" w14:textId="77777777" w:rsidR="00D0142B" w:rsidRDefault="00BE68B0">
      <w:pPr>
        <w:pStyle w:val="a3"/>
        <w:spacing w:after="0" w:line="360" w:lineRule="auto"/>
        <w:ind w:left="0" w:firstLine="709"/>
        <w:jc w:val="both"/>
      </w:pPr>
      <w:r>
        <w:t>Федеральный закон направлен на ускорение процедур осуществления заказчиками закупок для обеспечения государственных и муниципальных нужд.</w:t>
      </w:r>
    </w:p>
    <w:p w14:paraId="0090DC39" w14:textId="77777777" w:rsidR="00D0142B" w:rsidRDefault="00D0142B">
      <w:pPr>
        <w:pStyle w:val="a3"/>
        <w:spacing w:after="0" w:line="360" w:lineRule="auto"/>
        <w:ind w:left="0" w:firstLine="709"/>
        <w:jc w:val="both"/>
        <w:rPr>
          <w:sz w:val="18"/>
          <w:szCs w:val="18"/>
        </w:rPr>
      </w:pPr>
    </w:p>
    <w:p w14:paraId="505D37A2" w14:textId="77777777" w:rsidR="00D0142B" w:rsidRDefault="00BE68B0">
      <w:pPr>
        <w:pStyle w:val="a3"/>
        <w:spacing w:after="0" w:line="360" w:lineRule="auto"/>
        <w:ind w:left="0" w:firstLine="709"/>
        <w:jc w:val="both"/>
      </w:pPr>
      <w:r>
        <w:t xml:space="preserve">1. Основное и самое важное изменение закона касается увеличения порога начальной (максимальной) </w:t>
      </w:r>
      <w:r>
        <w:rPr>
          <w:b/>
        </w:rPr>
        <w:t xml:space="preserve">цены контракта для закупок способом электронный запрос котировок </w:t>
      </w:r>
      <w:r>
        <w:t xml:space="preserve">для «недорогих» контрактов. </w:t>
      </w:r>
    </w:p>
    <w:p w14:paraId="232C1789" w14:textId="77777777" w:rsidR="00D0142B" w:rsidRDefault="00BE68B0">
      <w:pPr>
        <w:pStyle w:val="a3"/>
        <w:spacing w:after="0" w:line="360" w:lineRule="auto"/>
        <w:ind w:left="0" w:firstLine="709"/>
        <w:jc w:val="both"/>
      </w:pPr>
      <w:r>
        <w:t xml:space="preserve">Теперь такие закупки можно осуществлять с ценой до 10 </w:t>
      </w:r>
      <w:proofErr w:type="gramStart"/>
      <w:r>
        <w:t>млн.</w:t>
      </w:r>
      <w:proofErr w:type="gramEnd"/>
      <w:r>
        <w:t xml:space="preserve"> рублей. Ранее такой порог составлял 3 </w:t>
      </w:r>
      <w:proofErr w:type="gramStart"/>
      <w:r>
        <w:t>млн.</w:t>
      </w:r>
      <w:proofErr w:type="gramEnd"/>
      <w:r>
        <w:t xml:space="preserve"> рублей.</w:t>
      </w:r>
    </w:p>
    <w:p w14:paraId="6D8FA9A6" w14:textId="77777777" w:rsidR="00D0142B" w:rsidRDefault="00BE68B0">
      <w:pPr>
        <w:pStyle w:val="a3"/>
        <w:spacing w:after="0" w:line="360" w:lineRule="auto"/>
        <w:ind w:left="0" w:firstLine="709"/>
        <w:jc w:val="both"/>
      </w:pPr>
      <w:r>
        <w:t>При этом, до 31 декабря 2026 года снимается ограничение годового объема закупок, осуществляемых путем применения электронного запроса котировок, которое в настоящее время составляет 20 % совокупного годового объема закупок (СГОЗ) заказчика по общему правилу или 100 млн. рублей в отношении заказчика, СГОЗ которого в прошедшем календарном году составил менее пятисот миллионов рублей.</w:t>
      </w:r>
    </w:p>
    <w:p w14:paraId="3B6C3F10" w14:textId="77777777" w:rsidR="00D0142B" w:rsidRDefault="00BE68B0">
      <w:pPr>
        <w:spacing w:line="360" w:lineRule="auto"/>
        <w:ind w:firstLine="709"/>
        <w:jc w:val="both"/>
      </w:pPr>
      <w:r>
        <w:t>Указанное изменение направлено на сокращение сроков закупочных процедур, поскольку данный способ закупок проводится в наиболее короткий срок и позволяет оперативно удовлетворить потребность заказчика в товаре, работе, услуге.</w:t>
      </w:r>
    </w:p>
    <w:tbl>
      <w:tblPr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2835"/>
        <w:gridCol w:w="2976"/>
        <w:gridCol w:w="2553"/>
      </w:tblGrid>
      <w:tr w:rsidR="00D0142B" w14:paraId="584623C5" w14:textId="77777777">
        <w:trPr>
          <w:trHeight w:val="883"/>
        </w:trPr>
        <w:tc>
          <w:tcPr>
            <w:tcW w:w="19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42BC2918" w14:textId="77777777" w:rsidR="00D0142B" w:rsidRDefault="00BE68B0">
            <w:pPr>
              <w:jc w:val="center"/>
            </w:pPr>
            <w:r>
              <w:rPr>
                <w:b/>
                <w:bCs/>
                <w:color w:val="000000"/>
              </w:rPr>
              <w:t>Способ закупки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16738" w14:textId="77777777" w:rsidR="00D0142B" w:rsidRDefault="00BE68B0">
            <w:pPr>
              <w:jc w:val="center"/>
            </w:pPr>
            <w:r>
              <w:rPr>
                <w:rFonts w:eastAsia="Arial"/>
                <w:b/>
                <w:bCs/>
                <w:color w:val="000000"/>
              </w:rPr>
              <w:t>Срок размещение извещения</w:t>
            </w:r>
          </w:p>
        </w:tc>
        <w:tc>
          <w:tcPr>
            <w:tcW w:w="297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19F97" w14:textId="77777777" w:rsidR="00D0142B" w:rsidRDefault="00BE68B0">
            <w:pPr>
              <w:jc w:val="center"/>
            </w:pPr>
            <w:r>
              <w:rPr>
                <w:rFonts w:eastAsia="Arial"/>
                <w:b/>
                <w:bCs/>
                <w:color w:val="000000"/>
              </w:rPr>
              <w:t>Срок рассмотрения заявок</w:t>
            </w:r>
          </w:p>
        </w:tc>
        <w:tc>
          <w:tcPr>
            <w:tcW w:w="255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4524D" w14:textId="77777777" w:rsidR="00D0142B" w:rsidRDefault="00BE68B0">
            <w:pPr>
              <w:jc w:val="center"/>
            </w:pPr>
            <w:r>
              <w:rPr>
                <w:rFonts w:eastAsia="Arial"/>
                <w:b/>
                <w:bCs/>
                <w:color w:val="000000"/>
              </w:rPr>
              <w:t>Срок заключения контракта</w:t>
            </w:r>
          </w:p>
        </w:tc>
      </w:tr>
      <w:tr w:rsidR="00D0142B" w14:paraId="12C67A12" w14:textId="77777777">
        <w:trPr>
          <w:trHeight w:val="538"/>
        </w:trPr>
        <w:tc>
          <w:tcPr>
            <w:tcW w:w="19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72791" w14:textId="77777777" w:rsidR="00D0142B" w:rsidRDefault="00BE68B0">
            <w:pPr>
              <w:jc w:val="center"/>
            </w:pPr>
            <w:r>
              <w:rPr>
                <w:rFonts w:eastAsia="Arial"/>
                <w:b/>
                <w:bCs/>
                <w:color w:val="000000"/>
              </w:rPr>
              <w:t>Электронный запрос котировок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5A7D6" w14:textId="77777777" w:rsidR="00D0142B" w:rsidRDefault="00BE6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  <w:p w14:paraId="2BD4A57E" w14:textId="77777777" w:rsidR="00D0142B" w:rsidRDefault="00BE6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рабочих дней</w:t>
            </w:r>
          </w:p>
          <w:p w14:paraId="17DDAA38" w14:textId="77777777" w:rsidR="00D0142B" w:rsidRDefault="00BE68B0">
            <w:pPr>
              <w:jc w:val="center"/>
            </w:pPr>
            <w:r>
              <w:rPr>
                <w:color w:val="000000"/>
              </w:rPr>
              <w:t>до даты истечения срока подачи заявок</w:t>
            </w:r>
          </w:p>
        </w:tc>
        <w:tc>
          <w:tcPr>
            <w:tcW w:w="297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7D8D9" w14:textId="77777777" w:rsidR="00D0142B" w:rsidRDefault="00BE6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</w:p>
          <w:p w14:paraId="4CA6C0A4" w14:textId="77777777" w:rsidR="00D0142B" w:rsidRDefault="00BE68B0">
            <w:pPr>
              <w:jc w:val="center"/>
            </w:pPr>
            <w:r>
              <w:rPr>
                <w:color w:val="000000"/>
              </w:rPr>
              <w:t>2 рабочих дней со дня, следующего за датой окончания срока подачи заявок, но не позднее даты подведения итогов</w:t>
            </w:r>
          </w:p>
        </w:tc>
        <w:tc>
          <w:tcPr>
            <w:tcW w:w="255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93C2E" w14:textId="77777777" w:rsidR="00D0142B" w:rsidRDefault="00BE68B0">
            <w:pPr>
              <w:jc w:val="center"/>
            </w:pPr>
            <w:r>
              <w:rPr>
                <w:color w:val="000000"/>
              </w:rPr>
              <w:t>не ранее чем через 2 рабочих дня, следующих за днем размещения в ЕИС итогового протокола</w:t>
            </w:r>
          </w:p>
        </w:tc>
      </w:tr>
      <w:tr w:rsidR="00D0142B" w14:paraId="6C8B375B" w14:textId="77777777">
        <w:trPr>
          <w:trHeight w:val="1142"/>
        </w:trPr>
        <w:tc>
          <w:tcPr>
            <w:tcW w:w="19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5B158" w14:textId="77777777" w:rsidR="00D0142B" w:rsidRDefault="00BE68B0">
            <w:pPr>
              <w:jc w:val="center"/>
            </w:pPr>
            <w:r>
              <w:rPr>
                <w:rFonts w:eastAsia="Arial"/>
                <w:b/>
                <w:bCs/>
                <w:color w:val="000000"/>
              </w:rPr>
              <w:lastRenderedPageBreak/>
              <w:t xml:space="preserve">Электронный </w:t>
            </w:r>
          </w:p>
          <w:p w14:paraId="03B16EA4" w14:textId="77777777" w:rsidR="00D0142B" w:rsidRDefault="00BE68B0">
            <w:pPr>
              <w:jc w:val="center"/>
            </w:pPr>
            <w:r>
              <w:rPr>
                <w:rFonts w:eastAsia="Arial"/>
                <w:b/>
                <w:bCs/>
                <w:color w:val="000000"/>
              </w:rPr>
              <w:t>аукцион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E2BBF" w14:textId="77777777" w:rsidR="00D0142B" w:rsidRDefault="00BE68B0">
            <w:pPr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не менее </w:t>
            </w:r>
          </w:p>
          <w:p w14:paraId="741111A1" w14:textId="77777777" w:rsidR="00D0142B" w:rsidRDefault="00BE68B0">
            <w:pPr>
              <w:jc w:val="center"/>
            </w:pPr>
            <w:r>
              <w:rPr>
                <w:rFonts w:eastAsia="Arial"/>
                <w:color w:val="000000"/>
              </w:rPr>
              <w:t>7 календарных дней до даты истечения срока подачи заявок</w:t>
            </w:r>
          </w:p>
        </w:tc>
        <w:tc>
          <w:tcPr>
            <w:tcW w:w="297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E461F" w14:textId="77777777" w:rsidR="00D0142B" w:rsidRDefault="00BE68B0">
            <w:pPr>
              <w:jc w:val="center"/>
            </w:pPr>
            <w:r>
              <w:rPr>
                <w:rFonts w:eastAsia="Arial"/>
                <w:color w:val="000000"/>
              </w:rPr>
              <w:t xml:space="preserve">не позднее </w:t>
            </w:r>
          </w:p>
          <w:p w14:paraId="6334FE2F" w14:textId="77777777" w:rsidR="00D0142B" w:rsidRDefault="00BE68B0">
            <w:pPr>
              <w:jc w:val="center"/>
            </w:pPr>
            <w:r>
              <w:rPr>
                <w:rFonts w:eastAsia="Arial"/>
                <w:color w:val="000000"/>
              </w:rPr>
              <w:t>2 рабочих дней</w:t>
            </w:r>
          </w:p>
        </w:tc>
        <w:tc>
          <w:tcPr>
            <w:tcW w:w="255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832A3" w14:textId="77777777" w:rsidR="00D0142B" w:rsidRDefault="00BE68B0">
            <w:pPr>
              <w:jc w:val="center"/>
            </w:pPr>
            <w:r>
              <w:rPr>
                <w:rFonts w:eastAsia="Arial"/>
                <w:color w:val="000000"/>
              </w:rPr>
              <w:t>не ранее чем через 10 дней с даты размещения в ЕИС протокола подведения итогов определения поставщика</w:t>
            </w:r>
          </w:p>
        </w:tc>
      </w:tr>
    </w:tbl>
    <w:p w14:paraId="33D79B58" w14:textId="77777777" w:rsidR="00D0142B" w:rsidRDefault="00BE68B0">
      <w:pPr>
        <w:spacing w:line="360" w:lineRule="auto"/>
        <w:ind w:firstLine="709"/>
        <w:jc w:val="both"/>
      </w:pPr>
      <w:r>
        <w:t xml:space="preserve">Сроки проведения электронного запроса котировок достаточно сжатые: </w:t>
      </w:r>
    </w:p>
    <w:p w14:paraId="716F3E21" w14:textId="77777777" w:rsidR="00D0142B" w:rsidRDefault="00BE68B0">
      <w:pPr>
        <w:spacing w:line="360" w:lineRule="auto"/>
        <w:ind w:firstLine="709"/>
        <w:jc w:val="both"/>
      </w:pPr>
      <w:r>
        <w:t>1. (</w:t>
      </w:r>
      <w:r>
        <w:rPr>
          <w:b/>
        </w:rPr>
        <w:t>котировка</w:t>
      </w:r>
      <w:r>
        <w:t xml:space="preserve">) срок размещения в ЕИС извещения - </w:t>
      </w:r>
      <w:r>
        <w:rPr>
          <w:u w:val="single"/>
        </w:rPr>
        <w:t>не менее чем за 4 рабочих дня</w:t>
      </w:r>
      <w:r>
        <w:t xml:space="preserve"> до даты истечения срока подачи заявок (п. 3 ч. 3 ст. 42 Закона № 44-ФЗ);</w:t>
      </w:r>
    </w:p>
    <w:p w14:paraId="53AF7CE9" w14:textId="77777777" w:rsidR="00D0142B" w:rsidRDefault="00BE68B0">
      <w:pPr>
        <w:spacing w:line="360" w:lineRule="auto"/>
        <w:ind w:firstLine="709"/>
        <w:jc w:val="both"/>
      </w:pPr>
      <w:r>
        <w:rPr>
          <w:b/>
        </w:rPr>
        <w:t>По сравнению с ЭА -</w:t>
      </w:r>
      <w:r>
        <w:t xml:space="preserve"> не менее чем за 15 дней до даты окончания срока подачи заявок на участие в закупке, за исключением случаев, </w:t>
      </w:r>
      <w:r>
        <w:rPr>
          <w:u w:val="single"/>
        </w:rPr>
        <w:t>если НМЦК не превышает 300 млн. рублей</w:t>
      </w:r>
      <w:r>
        <w:t xml:space="preserve"> либо НМЦК на выполнение работ по строительству, реконструкции, капитальному ремонту, сносу объекта капитального строительства не превышает 2 млрд. рублей, при которых такое извещение размещается </w:t>
      </w:r>
      <w:r>
        <w:rPr>
          <w:u w:val="single"/>
        </w:rPr>
        <w:t>не менее чем за 7 дней</w:t>
      </w:r>
      <w:r>
        <w:t xml:space="preserve"> до даты окончания срока подачи заявок на участие в закупке (п. 2 ч. 3 ст. 42 Закона № 44-ФЗ);</w:t>
      </w:r>
    </w:p>
    <w:p w14:paraId="0E57D97A" w14:textId="77777777" w:rsidR="00D0142B" w:rsidRDefault="00BE68B0">
      <w:pPr>
        <w:spacing w:line="360" w:lineRule="auto"/>
        <w:ind w:firstLine="709"/>
        <w:jc w:val="both"/>
      </w:pPr>
      <w:r>
        <w:t>2. (</w:t>
      </w:r>
      <w:r>
        <w:rPr>
          <w:b/>
        </w:rPr>
        <w:t>котировка, ЭА</w:t>
      </w:r>
      <w:r>
        <w:t xml:space="preserve"> - совпадают) срок рассмотрения заявок - </w:t>
      </w:r>
      <w:r>
        <w:rPr>
          <w:u w:val="single"/>
        </w:rPr>
        <w:t>не позднее 2 рабочих дней</w:t>
      </w:r>
      <w:r>
        <w:t xml:space="preserve"> со дня, следующего за датой окончания срока подачи заявок, но не позднее даты подведения итогов, установленной извещением (ч. 3 ст. 50 Закона № 44-ФЗ);</w:t>
      </w:r>
    </w:p>
    <w:p w14:paraId="5B3EE733" w14:textId="77777777" w:rsidR="00D0142B" w:rsidRDefault="00BE68B0">
      <w:pPr>
        <w:spacing w:line="360" w:lineRule="auto"/>
        <w:ind w:firstLine="709"/>
        <w:jc w:val="both"/>
      </w:pPr>
      <w:r>
        <w:t>3. (</w:t>
      </w:r>
      <w:r>
        <w:rPr>
          <w:b/>
        </w:rPr>
        <w:t>котировка</w:t>
      </w:r>
      <w:r>
        <w:t xml:space="preserve">) срок заключения контракта по результатам проведения запроса котировок - не позднее 1 рабочего дня, следующего за днем осуществления участником действий, направленных на заключение контракта, но </w:t>
      </w:r>
      <w:r>
        <w:rPr>
          <w:u w:val="single"/>
        </w:rPr>
        <w:t>не ранее чем через 2 рабочих дня</w:t>
      </w:r>
      <w:r>
        <w:t>, следующих за днем размещения в ЕИС итогового протокола (п. 3 ч. 6 ст. 50 Закона № 44-ФЗ).</w:t>
      </w:r>
    </w:p>
    <w:p w14:paraId="17386D1E" w14:textId="77777777" w:rsidR="00D0142B" w:rsidRDefault="00BE68B0">
      <w:pPr>
        <w:spacing w:line="360" w:lineRule="auto"/>
        <w:ind w:firstLine="709"/>
        <w:jc w:val="both"/>
      </w:pPr>
      <w:r>
        <w:rPr>
          <w:b/>
        </w:rPr>
        <w:t xml:space="preserve">По сравнению с ЭА – </w:t>
      </w:r>
      <w:r>
        <w:t xml:space="preserve">контракт заключается с победителем определения поставщика </w:t>
      </w:r>
      <w:r>
        <w:rPr>
          <w:u w:val="single"/>
        </w:rPr>
        <w:t>не ранее чем через 10 дней</w:t>
      </w:r>
      <w:r>
        <w:t xml:space="preserve"> с даты размещения в ЕИС протокола подведения итогов определения поставщика (ч. 1 ст. 51 Закона № 44-ФЗ)</w:t>
      </w:r>
    </w:p>
    <w:p w14:paraId="6ABEC65A" w14:textId="77777777" w:rsidR="00D0142B" w:rsidRDefault="00D0142B">
      <w:pPr>
        <w:pStyle w:val="a3"/>
        <w:spacing w:after="0" w:line="360" w:lineRule="auto"/>
        <w:ind w:left="0" w:firstLine="709"/>
        <w:jc w:val="both"/>
        <w:rPr>
          <w:bCs/>
          <w:i/>
        </w:rPr>
      </w:pPr>
    </w:p>
    <w:p w14:paraId="33CC5C36" w14:textId="77777777" w:rsidR="00D0142B" w:rsidRDefault="00BE68B0">
      <w:pPr>
        <w:spacing w:line="360" w:lineRule="auto"/>
        <w:ind w:firstLine="709"/>
        <w:jc w:val="both"/>
      </w:pPr>
      <w:r>
        <w:lastRenderedPageBreak/>
        <w:t xml:space="preserve">2. Следующее изменение касается </w:t>
      </w:r>
      <w:r>
        <w:rPr>
          <w:b/>
        </w:rPr>
        <w:t>закупок у единственного поставщика, проведенных электронным способом</w:t>
      </w:r>
      <w:r>
        <w:t>.</w:t>
      </w:r>
    </w:p>
    <w:p w14:paraId="41FA6493" w14:textId="77777777" w:rsidR="00D0142B" w:rsidRDefault="00BE68B0">
      <w:pPr>
        <w:spacing w:line="360" w:lineRule="auto"/>
        <w:ind w:firstLine="709"/>
        <w:jc w:val="both"/>
      </w:pPr>
      <w:r>
        <w:t>Федеральным законом вносятся в статью 93 Федерального закона № 44-ФЗ изменения, направленные на повышение суммы закупки товара у единственного поставщика, осуществляемой в электронной форме с использованием электронной площадки, с 3 миллионов рублей до 5 миллионов рублей. Это так называемые «Закупки с полки».</w:t>
      </w:r>
    </w:p>
    <w:p w14:paraId="3DF136E4" w14:textId="77777777" w:rsidR="00D0142B" w:rsidRDefault="00BE68B0">
      <w:pPr>
        <w:spacing w:line="360" w:lineRule="auto"/>
        <w:ind w:firstLine="709"/>
        <w:jc w:val="both"/>
      </w:pPr>
      <w:r>
        <w:t xml:space="preserve">Годовой объем таких закупок теперь не учитывается в объеме закупок у единственного поставщика и ограничен суммой в 100 </w:t>
      </w:r>
      <w:proofErr w:type="gramStart"/>
      <w:r>
        <w:t>млн.</w:t>
      </w:r>
      <w:proofErr w:type="gramEnd"/>
      <w:r>
        <w:t xml:space="preserve"> рублей для всех заказчиков.</w:t>
      </w:r>
    </w:p>
    <w:p w14:paraId="69D39A59" w14:textId="77777777" w:rsidR="00D0142B" w:rsidRDefault="00D0142B">
      <w:pPr>
        <w:spacing w:line="360" w:lineRule="auto"/>
        <w:ind w:firstLine="709"/>
        <w:jc w:val="both"/>
      </w:pPr>
    </w:p>
    <w:p w14:paraId="75D53A25" w14:textId="77777777" w:rsidR="00D0142B" w:rsidRDefault="00BE68B0">
      <w:pPr>
        <w:spacing w:line="360" w:lineRule="auto"/>
        <w:ind w:firstLine="709"/>
        <w:jc w:val="both"/>
      </w:pPr>
      <w:r>
        <w:t xml:space="preserve">3. Следующее изменение сокращает </w:t>
      </w:r>
      <w:r>
        <w:rPr>
          <w:b/>
        </w:rPr>
        <w:t>время рассмотрения контрольным органом</w:t>
      </w:r>
      <w:r>
        <w:t xml:space="preserve"> в сфере закупок обращения о согласовании заключения контракта с единственным поставщиком по несостоявшимся процедурам закупки с 10 до 8 рабочих дней.</w:t>
      </w:r>
    </w:p>
    <w:p w14:paraId="10249A46" w14:textId="77777777" w:rsidR="00D0142B" w:rsidRDefault="00D0142B">
      <w:pPr>
        <w:pStyle w:val="a3"/>
        <w:spacing w:after="0" w:line="360" w:lineRule="auto"/>
        <w:ind w:left="0" w:firstLine="709"/>
        <w:jc w:val="both"/>
        <w:rPr>
          <w:i/>
          <w:highlight w:val="yellow"/>
        </w:rPr>
      </w:pPr>
    </w:p>
    <w:p w14:paraId="673F3A95" w14:textId="77777777" w:rsidR="00D0142B" w:rsidRDefault="00BE68B0">
      <w:pPr>
        <w:spacing w:line="360" w:lineRule="auto"/>
        <w:ind w:firstLine="709"/>
        <w:jc w:val="both"/>
      </w:pPr>
      <w:r>
        <w:t>4. Федеральный закон предоставляет заказчикам право не использовать методические рекомендации по применению методов определения НМЦК, цены контракта с единственным поставщиком, в случае определения идентичности и однородности товаров, работ, услуг, сопоставимости коммерческих и (или) финансовых условий поставок товаров, выполнения работ, оказания услуг.</w:t>
      </w:r>
    </w:p>
    <w:p w14:paraId="7FB74715" w14:textId="77777777" w:rsidR="00D0142B" w:rsidRDefault="00BE68B0">
      <w:pPr>
        <w:spacing w:line="360" w:lineRule="auto"/>
        <w:ind w:firstLine="709"/>
        <w:jc w:val="both"/>
      </w:pPr>
      <w:r>
        <w:t>До настоящего времени заказчики обязаны были применять такие методические рекомендации в указанных случаях.</w:t>
      </w:r>
    </w:p>
    <w:p w14:paraId="352EF27B" w14:textId="77777777" w:rsidR="00D0142B" w:rsidRDefault="00D0142B">
      <w:pPr>
        <w:spacing w:line="360" w:lineRule="auto"/>
        <w:ind w:firstLine="709"/>
        <w:jc w:val="both"/>
      </w:pPr>
    </w:p>
    <w:p w14:paraId="65192A47" w14:textId="77777777" w:rsidR="00D0142B" w:rsidRDefault="00BE68B0">
      <w:pPr>
        <w:spacing w:line="360" w:lineRule="auto"/>
        <w:ind w:firstLine="709"/>
        <w:jc w:val="both"/>
      </w:pPr>
      <w:r>
        <w:t xml:space="preserve">5. По новым правилам при описании объекта закупки медицинских изделий, специализированных продуктов лечебного питания, необходимых для назначения пациенту по медицинским показаниям, по решению врачебной комиссии заказчиком может быть использовано </w:t>
      </w:r>
      <w:r>
        <w:rPr>
          <w:b/>
        </w:rPr>
        <w:t>указание на товарный знак.</w:t>
      </w:r>
      <w:r>
        <w:t xml:space="preserve"> </w:t>
      </w:r>
    </w:p>
    <w:p w14:paraId="1177DE95" w14:textId="77777777" w:rsidR="00D0142B" w:rsidRDefault="00BE68B0">
      <w:pPr>
        <w:spacing w:line="360" w:lineRule="auto"/>
        <w:ind w:firstLine="709"/>
        <w:jc w:val="both"/>
      </w:pPr>
      <w:r>
        <w:t>Важно, что т</w:t>
      </w:r>
      <w:r>
        <w:rPr>
          <w:u w:val="single"/>
        </w:rPr>
        <w:t>акой перечень товаров и порядок его формирования утверждаются Правительством Российской Федерации</w:t>
      </w:r>
      <w:r>
        <w:t xml:space="preserve"> Соответственно, для </w:t>
      </w:r>
      <w:r>
        <w:lastRenderedPageBreak/>
        <w:t>использования такой возможности Правительством РФ должны быть проведены дополнительные действия.</w:t>
      </w:r>
    </w:p>
    <w:p w14:paraId="3EA2A61D" w14:textId="77777777" w:rsidR="00D0142B" w:rsidRDefault="00BE68B0">
      <w:pPr>
        <w:spacing w:line="360" w:lineRule="auto"/>
        <w:ind w:firstLine="709"/>
        <w:jc w:val="both"/>
      </w:pPr>
      <w:r>
        <w:t>Также продолжают действовать правила в отношении использования товарного знака при:</w:t>
      </w:r>
    </w:p>
    <w:p w14:paraId="00CB71EB" w14:textId="77777777" w:rsidR="00D0142B" w:rsidRDefault="00BE68B0">
      <w:pPr>
        <w:spacing w:line="360" w:lineRule="auto"/>
        <w:ind w:firstLine="709"/>
        <w:jc w:val="both"/>
      </w:pPr>
      <w:r>
        <w:t>1. сопровождении такого указания словами «или эквивалент»;</w:t>
      </w:r>
    </w:p>
    <w:p w14:paraId="17DDED82" w14:textId="77777777" w:rsidR="00D0142B" w:rsidRDefault="00BE68B0">
      <w:pPr>
        <w:spacing w:line="360" w:lineRule="auto"/>
        <w:ind w:firstLine="709"/>
        <w:jc w:val="both"/>
      </w:pPr>
      <w:r>
        <w:t>2. несовместимости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</w:r>
    </w:p>
    <w:p w14:paraId="37ED635A" w14:textId="77777777" w:rsidR="00D0142B" w:rsidRDefault="00BE68B0">
      <w:pPr>
        <w:spacing w:line="360" w:lineRule="auto"/>
        <w:ind w:firstLine="709"/>
        <w:jc w:val="both"/>
      </w:pPr>
      <w:r>
        <w:t>3. осуществлении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14:paraId="290951D8" w14:textId="77777777" w:rsidR="00D0142B" w:rsidRDefault="00D0142B">
      <w:pPr>
        <w:spacing w:line="360" w:lineRule="auto"/>
        <w:ind w:firstLine="709"/>
        <w:jc w:val="both"/>
      </w:pPr>
    </w:p>
    <w:p w14:paraId="65959B0A" w14:textId="77777777" w:rsidR="00D0142B" w:rsidRDefault="00BE68B0">
      <w:pPr>
        <w:spacing w:line="360" w:lineRule="auto"/>
        <w:ind w:firstLine="709"/>
        <w:jc w:val="both"/>
      </w:pPr>
      <w:r>
        <w:t xml:space="preserve">6. Заказчики наделяются полномочиями </w:t>
      </w:r>
      <w:r>
        <w:rPr>
          <w:b/>
        </w:rPr>
        <w:t>заключать контракт с участником закупки, которому присвоен второй номер</w:t>
      </w:r>
      <w:r>
        <w:t xml:space="preserve"> по результатам закупки. Ранее такая возможность была только в том случае, если по результатам принятия решения заказчиком об одностороннем отказе от исполнения контракта поставщик внесен в реестр недобросовестных поставщиков. </w:t>
      </w:r>
    </w:p>
    <w:p w14:paraId="3769CB17" w14:textId="77777777" w:rsidR="00D0142B" w:rsidRDefault="00BE68B0">
      <w:pPr>
        <w:spacing w:line="360" w:lineRule="auto"/>
        <w:ind w:firstLine="709"/>
        <w:jc w:val="both"/>
      </w:pPr>
      <w:r>
        <w:t>В предложенной редакции возможно заключение контракта со вторым участником закупки без внесения победителя закупки в реестр недобросовестных поставщиков, если расторжение связано с обстоятельствами непреодолимой силы. Об этом должно быть указано в решении УФАС.</w:t>
      </w:r>
    </w:p>
    <w:p w14:paraId="70A0FFE1" w14:textId="77777777" w:rsidR="00D0142B" w:rsidRDefault="00D0142B">
      <w:pPr>
        <w:spacing w:line="360" w:lineRule="auto"/>
        <w:ind w:firstLine="709"/>
        <w:jc w:val="both"/>
      </w:pPr>
    </w:p>
    <w:p w14:paraId="6B85425D" w14:textId="77777777" w:rsidR="00D0142B" w:rsidRDefault="00BE68B0">
      <w:pPr>
        <w:spacing w:line="360" w:lineRule="auto"/>
        <w:ind w:firstLine="709"/>
        <w:jc w:val="both"/>
      </w:pPr>
      <w:r>
        <w:t xml:space="preserve">7. Кроме того, продляется возможность проведения строительных закупок «под ключ», а также возможность поставки оборудования, необходимого для эксплуатации объекта капитального строительства </w:t>
      </w:r>
      <w:r>
        <w:rPr>
          <w:b/>
        </w:rPr>
        <w:t>в срок до 1 января 2025 года</w:t>
      </w:r>
      <w:r>
        <w:t xml:space="preserve"> (вместо 01.01.2024).</w:t>
      </w:r>
    </w:p>
    <w:p w14:paraId="724FCBB7" w14:textId="77777777" w:rsidR="00D0142B" w:rsidRDefault="00BE68B0">
      <w:pPr>
        <w:spacing w:line="360" w:lineRule="auto"/>
        <w:ind w:firstLine="709"/>
        <w:jc w:val="both"/>
      </w:pPr>
      <w:r>
        <w:t xml:space="preserve">При этом законодатель установил некоторые особенности авансирования таких контрактов: </w:t>
      </w:r>
    </w:p>
    <w:p w14:paraId="7A4714E7" w14:textId="77777777" w:rsidR="00D0142B" w:rsidRDefault="00BE68B0">
      <w:pPr>
        <w:spacing w:line="360" w:lineRule="auto"/>
        <w:ind w:firstLine="709"/>
        <w:jc w:val="both"/>
      </w:pPr>
      <w:r>
        <w:t xml:space="preserve">возможность установить разные размеры аванса в отношении разных этапов контракта: </w:t>
      </w:r>
    </w:p>
    <w:p w14:paraId="13F9D1A4" w14:textId="77777777" w:rsidR="00D0142B" w:rsidRDefault="00BE68B0">
      <w:pPr>
        <w:spacing w:line="360" w:lineRule="auto"/>
        <w:ind w:firstLine="709"/>
        <w:jc w:val="both"/>
      </w:pPr>
      <w:r>
        <w:lastRenderedPageBreak/>
        <w:t>- например, устанавливать аванс равный «0» на этапе подготовки проектной документации или инженерных изысканий;</w:t>
      </w:r>
    </w:p>
    <w:p w14:paraId="71EC2D75" w14:textId="77777777" w:rsidR="00D0142B" w:rsidRDefault="00BE68B0">
      <w:pPr>
        <w:spacing w:line="360" w:lineRule="auto"/>
        <w:ind w:firstLine="709"/>
        <w:jc w:val="both"/>
      </w:pPr>
      <w:r>
        <w:t>- или на этапе проектирования, инженерных изысканий, поставки оборудования установить аванс в размере меньше, тем на этапе основных работ (строительства, реконструкции, капитального ремонта).</w:t>
      </w:r>
    </w:p>
    <w:p w14:paraId="0C98DA24" w14:textId="77777777" w:rsidR="00D0142B" w:rsidRDefault="00D0142B">
      <w:pPr>
        <w:spacing w:line="360" w:lineRule="auto"/>
        <w:ind w:firstLine="709"/>
        <w:jc w:val="both"/>
      </w:pPr>
    </w:p>
    <w:p w14:paraId="5EF55BA3" w14:textId="77777777" w:rsidR="00D0142B" w:rsidRDefault="00BE68B0">
      <w:pPr>
        <w:spacing w:line="360" w:lineRule="auto"/>
        <w:ind w:firstLine="709"/>
        <w:jc w:val="both"/>
      </w:pPr>
      <w:r>
        <w:t>Федеральный закон вступает в силу в общеустановленном порядке по истечении 10 дней со дня его официального опубликования.</w:t>
      </w:r>
    </w:p>
    <w:p w14:paraId="05C95DC6" w14:textId="77777777" w:rsidR="00D0142B" w:rsidRDefault="00D0142B">
      <w:pPr>
        <w:spacing w:line="360" w:lineRule="auto"/>
        <w:ind w:firstLine="709"/>
        <w:jc w:val="both"/>
      </w:pPr>
    </w:p>
    <w:p w14:paraId="191F3B71" w14:textId="77777777" w:rsidR="00D0142B" w:rsidRDefault="00BE68B0">
      <w:pPr>
        <w:spacing w:line="360" w:lineRule="auto"/>
        <w:ind w:firstLine="709"/>
        <w:jc w:val="both"/>
      </w:pPr>
      <w:r>
        <w:t>Законом предусмотрены, в том числе предложения, сформированные Новосибирской областью, в частности об увеличении начальной цены контракта при закупках способом электронный запрос котировок.</w:t>
      </w:r>
    </w:p>
    <w:p w14:paraId="5E380E9A" w14:textId="77777777" w:rsidR="00D0142B" w:rsidRDefault="00BE68B0">
      <w:pPr>
        <w:spacing w:line="360" w:lineRule="auto"/>
        <w:ind w:firstLine="709"/>
        <w:jc w:val="both"/>
      </w:pPr>
      <w:r>
        <w:t xml:space="preserve">Кроме того, работа по совершенствованию системы госзакупок продолжается. Подготовлен целый ряд точечных поправок, направленных на либерализацию госзакупок и повышение гибкости системы. С таким заявлением выступил зампред Совета Федерации в рамках </w:t>
      </w:r>
      <w:r>
        <w:rPr>
          <w:lang w:val="en-US"/>
        </w:rPr>
        <w:t>XVIII</w:t>
      </w:r>
      <w:r>
        <w:t xml:space="preserve"> Всероссийского форума «Госзаказ» Николай Андреевич Журавлев.</w:t>
      </w:r>
    </w:p>
    <w:sectPr w:rsidR="00D0142B">
      <w:footerReference w:type="default" r:id="rId7"/>
      <w:pgSz w:w="11906" w:h="16838"/>
      <w:pgMar w:top="1021" w:right="567" w:bottom="1021" w:left="1418" w:header="1134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C918" w14:textId="77777777" w:rsidR="00BA661E" w:rsidRDefault="00BA661E">
      <w:r>
        <w:separator/>
      </w:r>
    </w:p>
  </w:endnote>
  <w:endnote w:type="continuationSeparator" w:id="0">
    <w:p w14:paraId="00A3FE4E" w14:textId="77777777" w:rsidR="00BA661E" w:rsidRDefault="00BA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B8D5" w14:textId="77777777" w:rsidR="00D0142B" w:rsidRDefault="00BE68B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960D3">
      <w:rPr>
        <w:noProof/>
      </w:rPr>
      <w:t>5</w:t>
    </w:r>
    <w:r>
      <w:fldChar w:fldCharType="end"/>
    </w:r>
  </w:p>
  <w:p w14:paraId="3133B160" w14:textId="77777777" w:rsidR="00D0142B" w:rsidRDefault="00D014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0065" w14:textId="77777777" w:rsidR="00BA661E" w:rsidRDefault="00BA661E">
      <w:r>
        <w:separator/>
      </w:r>
    </w:p>
  </w:footnote>
  <w:footnote w:type="continuationSeparator" w:id="0">
    <w:p w14:paraId="2970C135" w14:textId="77777777" w:rsidR="00BA661E" w:rsidRDefault="00BA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4F1"/>
    <w:multiLevelType w:val="hybridMultilevel"/>
    <w:tmpl w:val="36305394"/>
    <w:lvl w:ilvl="0" w:tplc="C914B6BA">
      <w:start w:val="3"/>
      <w:numFmt w:val="decimal"/>
      <w:lvlText w:val="%1."/>
      <w:lvlJc w:val="left"/>
      <w:pPr>
        <w:ind w:left="1068" w:hanging="360"/>
      </w:pPr>
    </w:lvl>
    <w:lvl w:ilvl="1" w:tplc="90D84458">
      <w:start w:val="1"/>
      <w:numFmt w:val="lowerLetter"/>
      <w:lvlText w:val="%2."/>
      <w:lvlJc w:val="left"/>
      <w:pPr>
        <w:ind w:left="1788" w:hanging="360"/>
      </w:pPr>
    </w:lvl>
    <w:lvl w:ilvl="2" w:tplc="3F866114">
      <w:start w:val="1"/>
      <w:numFmt w:val="lowerRoman"/>
      <w:lvlText w:val="%3."/>
      <w:lvlJc w:val="right"/>
      <w:pPr>
        <w:ind w:left="2508" w:hanging="180"/>
      </w:pPr>
    </w:lvl>
    <w:lvl w:ilvl="3" w:tplc="C1F0C228">
      <w:start w:val="1"/>
      <w:numFmt w:val="decimal"/>
      <w:lvlText w:val="%4."/>
      <w:lvlJc w:val="left"/>
      <w:pPr>
        <w:ind w:left="3228" w:hanging="360"/>
      </w:pPr>
    </w:lvl>
    <w:lvl w:ilvl="4" w:tplc="1A580788">
      <w:start w:val="1"/>
      <w:numFmt w:val="lowerLetter"/>
      <w:lvlText w:val="%5."/>
      <w:lvlJc w:val="left"/>
      <w:pPr>
        <w:ind w:left="3948" w:hanging="360"/>
      </w:pPr>
    </w:lvl>
    <w:lvl w:ilvl="5" w:tplc="5BDED872">
      <w:start w:val="1"/>
      <w:numFmt w:val="lowerRoman"/>
      <w:lvlText w:val="%6."/>
      <w:lvlJc w:val="right"/>
      <w:pPr>
        <w:ind w:left="4668" w:hanging="180"/>
      </w:pPr>
    </w:lvl>
    <w:lvl w:ilvl="6" w:tplc="50482CAC">
      <w:start w:val="1"/>
      <w:numFmt w:val="decimal"/>
      <w:lvlText w:val="%7."/>
      <w:lvlJc w:val="left"/>
      <w:pPr>
        <w:ind w:left="5388" w:hanging="360"/>
      </w:pPr>
    </w:lvl>
    <w:lvl w:ilvl="7" w:tplc="448E7B40">
      <w:start w:val="1"/>
      <w:numFmt w:val="lowerLetter"/>
      <w:lvlText w:val="%8."/>
      <w:lvlJc w:val="left"/>
      <w:pPr>
        <w:ind w:left="6108" w:hanging="360"/>
      </w:pPr>
    </w:lvl>
    <w:lvl w:ilvl="8" w:tplc="A30ED47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80564"/>
    <w:multiLevelType w:val="hybridMultilevel"/>
    <w:tmpl w:val="07129D5C"/>
    <w:lvl w:ilvl="0" w:tplc="4FDC16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F86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E615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B2BF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0625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A4E9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8A1A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4EB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3CE4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1E682E"/>
    <w:multiLevelType w:val="hybridMultilevel"/>
    <w:tmpl w:val="D4CC5620"/>
    <w:lvl w:ilvl="0" w:tplc="5B566B32">
      <w:start w:val="1"/>
      <w:numFmt w:val="decimal"/>
      <w:lvlText w:val="%1."/>
      <w:lvlJc w:val="left"/>
      <w:pPr>
        <w:ind w:left="1068" w:hanging="360"/>
      </w:pPr>
    </w:lvl>
    <w:lvl w:ilvl="1" w:tplc="B5226672">
      <w:start w:val="1"/>
      <w:numFmt w:val="lowerLetter"/>
      <w:lvlText w:val="%2."/>
      <w:lvlJc w:val="left"/>
      <w:pPr>
        <w:ind w:left="1788" w:hanging="360"/>
      </w:pPr>
    </w:lvl>
    <w:lvl w:ilvl="2" w:tplc="B6D0C718">
      <w:start w:val="1"/>
      <w:numFmt w:val="lowerRoman"/>
      <w:lvlText w:val="%3."/>
      <w:lvlJc w:val="right"/>
      <w:pPr>
        <w:ind w:left="2508" w:hanging="180"/>
      </w:pPr>
    </w:lvl>
    <w:lvl w:ilvl="3" w:tplc="99EC7BC2">
      <w:start w:val="1"/>
      <w:numFmt w:val="decimal"/>
      <w:lvlText w:val="%4."/>
      <w:lvlJc w:val="left"/>
      <w:pPr>
        <w:ind w:left="3228" w:hanging="360"/>
      </w:pPr>
    </w:lvl>
    <w:lvl w:ilvl="4" w:tplc="38F682B0">
      <w:start w:val="1"/>
      <w:numFmt w:val="lowerLetter"/>
      <w:lvlText w:val="%5."/>
      <w:lvlJc w:val="left"/>
      <w:pPr>
        <w:ind w:left="3948" w:hanging="360"/>
      </w:pPr>
    </w:lvl>
    <w:lvl w:ilvl="5" w:tplc="2ED62028">
      <w:start w:val="1"/>
      <w:numFmt w:val="lowerRoman"/>
      <w:lvlText w:val="%6."/>
      <w:lvlJc w:val="right"/>
      <w:pPr>
        <w:ind w:left="4668" w:hanging="180"/>
      </w:pPr>
    </w:lvl>
    <w:lvl w:ilvl="6" w:tplc="F08850BC">
      <w:start w:val="1"/>
      <w:numFmt w:val="decimal"/>
      <w:lvlText w:val="%7."/>
      <w:lvlJc w:val="left"/>
      <w:pPr>
        <w:ind w:left="5388" w:hanging="360"/>
      </w:pPr>
    </w:lvl>
    <w:lvl w:ilvl="7" w:tplc="987E8B3A">
      <w:start w:val="1"/>
      <w:numFmt w:val="lowerLetter"/>
      <w:lvlText w:val="%8."/>
      <w:lvlJc w:val="left"/>
      <w:pPr>
        <w:ind w:left="6108" w:hanging="360"/>
      </w:pPr>
    </w:lvl>
    <w:lvl w:ilvl="8" w:tplc="CBC61926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4A178E"/>
    <w:multiLevelType w:val="hybridMultilevel"/>
    <w:tmpl w:val="D56AF1EC"/>
    <w:lvl w:ilvl="0" w:tplc="76F042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0C24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F1680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C268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2A6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78611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E6CF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26A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01868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A65550"/>
    <w:multiLevelType w:val="hybridMultilevel"/>
    <w:tmpl w:val="263AF796"/>
    <w:lvl w:ilvl="0" w:tplc="B9C2EA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C47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BE0E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FECA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589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AFC3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D8D3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A69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00C1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22527F"/>
    <w:multiLevelType w:val="hybridMultilevel"/>
    <w:tmpl w:val="23283554"/>
    <w:lvl w:ilvl="0" w:tplc="3A508BA0">
      <w:start w:val="1"/>
      <w:numFmt w:val="decimal"/>
      <w:lvlText w:val="%1."/>
      <w:lvlJc w:val="left"/>
      <w:pPr>
        <w:ind w:left="644" w:hanging="360"/>
      </w:pPr>
    </w:lvl>
    <w:lvl w:ilvl="1" w:tplc="1772EAE8">
      <w:start w:val="1"/>
      <w:numFmt w:val="lowerLetter"/>
      <w:lvlText w:val="%2."/>
      <w:lvlJc w:val="left"/>
      <w:pPr>
        <w:ind w:left="1364" w:hanging="360"/>
      </w:pPr>
    </w:lvl>
    <w:lvl w:ilvl="2" w:tplc="8638AA30">
      <w:start w:val="1"/>
      <w:numFmt w:val="lowerRoman"/>
      <w:lvlText w:val="%3."/>
      <w:lvlJc w:val="right"/>
      <w:pPr>
        <w:ind w:left="2084" w:hanging="180"/>
      </w:pPr>
    </w:lvl>
    <w:lvl w:ilvl="3" w:tplc="70CE04CA">
      <w:start w:val="1"/>
      <w:numFmt w:val="decimal"/>
      <w:lvlText w:val="%4."/>
      <w:lvlJc w:val="left"/>
      <w:pPr>
        <w:ind w:left="2804" w:hanging="360"/>
      </w:pPr>
    </w:lvl>
    <w:lvl w:ilvl="4" w:tplc="F12E1C08">
      <w:start w:val="1"/>
      <w:numFmt w:val="lowerLetter"/>
      <w:lvlText w:val="%5."/>
      <w:lvlJc w:val="left"/>
      <w:pPr>
        <w:ind w:left="3524" w:hanging="360"/>
      </w:pPr>
    </w:lvl>
    <w:lvl w:ilvl="5" w:tplc="C1B002EC">
      <w:start w:val="1"/>
      <w:numFmt w:val="lowerRoman"/>
      <w:lvlText w:val="%6."/>
      <w:lvlJc w:val="right"/>
      <w:pPr>
        <w:ind w:left="4244" w:hanging="180"/>
      </w:pPr>
    </w:lvl>
    <w:lvl w:ilvl="6" w:tplc="68946BDA">
      <w:start w:val="1"/>
      <w:numFmt w:val="decimal"/>
      <w:lvlText w:val="%7."/>
      <w:lvlJc w:val="left"/>
      <w:pPr>
        <w:ind w:left="4964" w:hanging="360"/>
      </w:pPr>
    </w:lvl>
    <w:lvl w:ilvl="7" w:tplc="273690F6">
      <w:start w:val="1"/>
      <w:numFmt w:val="lowerLetter"/>
      <w:lvlText w:val="%8."/>
      <w:lvlJc w:val="left"/>
      <w:pPr>
        <w:ind w:left="5684" w:hanging="360"/>
      </w:pPr>
    </w:lvl>
    <w:lvl w:ilvl="8" w:tplc="A432BCBC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426747"/>
    <w:multiLevelType w:val="hybridMultilevel"/>
    <w:tmpl w:val="91F86326"/>
    <w:lvl w:ilvl="0" w:tplc="12467B6C">
      <w:start w:val="1"/>
      <w:numFmt w:val="decimal"/>
      <w:lvlText w:val="%1."/>
      <w:lvlJc w:val="left"/>
      <w:pPr>
        <w:ind w:left="1069" w:hanging="360"/>
      </w:pPr>
    </w:lvl>
    <w:lvl w:ilvl="1" w:tplc="6E94933C">
      <w:start w:val="1"/>
      <w:numFmt w:val="lowerLetter"/>
      <w:lvlText w:val="%2."/>
      <w:lvlJc w:val="left"/>
      <w:pPr>
        <w:ind w:left="1789" w:hanging="360"/>
      </w:pPr>
    </w:lvl>
    <w:lvl w:ilvl="2" w:tplc="0C16F7A2">
      <w:start w:val="1"/>
      <w:numFmt w:val="lowerRoman"/>
      <w:lvlText w:val="%3."/>
      <w:lvlJc w:val="right"/>
      <w:pPr>
        <w:ind w:left="2509" w:hanging="180"/>
      </w:pPr>
    </w:lvl>
    <w:lvl w:ilvl="3" w:tplc="B9D6E930">
      <w:start w:val="1"/>
      <w:numFmt w:val="decimal"/>
      <w:lvlText w:val="%4."/>
      <w:lvlJc w:val="left"/>
      <w:pPr>
        <w:ind w:left="3229" w:hanging="360"/>
      </w:pPr>
    </w:lvl>
    <w:lvl w:ilvl="4" w:tplc="63263056">
      <w:start w:val="1"/>
      <w:numFmt w:val="lowerLetter"/>
      <w:lvlText w:val="%5."/>
      <w:lvlJc w:val="left"/>
      <w:pPr>
        <w:ind w:left="3949" w:hanging="360"/>
      </w:pPr>
    </w:lvl>
    <w:lvl w:ilvl="5" w:tplc="B16C31D6">
      <w:start w:val="1"/>
      <w:numFmt w:val="lowerRoman"/>
      <w:lvlText w:val="%6."/>
      <w:lvlJc w:val="right"/>
      <w:pPr>
        <w:ind w:left="4669" w:hanging="180"/>
      </w:pPr>
    </w:lvl>
    <w:lvl w:ilvl="6" w:tplc="629A4D26">
      <w:start w:val="1"/>
      <w:numFmt w:val="decimal"/>
      <w:lvlText w:val="%7."/>
      <w:lvlJc w:val="left"/>
      <w:pPr>
        <w:ind w:left="5389" w:hanging="360"/>
      </w:pPr>
    </w:lvl>
    <w:lvl w:ilvl="7" w:tplc="1DACCCFE">
      <w:start w:val="1"/>
      <w:numFmt w:val="lowerLetter"/>
      <w:lvlText w:val="%8."/>
      <w:lvlJc w:val="left"/>
      <w:pPr>
        <w:ind w:left="6109" w:hanging="360"/>
      </w:pPr>
    </w:lvl>
    <w:lvl w:ilvl="8" w:tplc="C92ACF7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5336B9"/>
    <w:multiLevelType w:val="hybridMultilevel"/>
    <w:tmpl w:val="10526524"/>
    <w:lvl w:ilvl="0" w:tplc="841C8458">
      <w:start w:val="1"/>
      <w:numFmt w:val="decimal"/>
      <w:lvlText w:val="%1."/>
      <w:lvlJc w:val="left"/>
      <w:pPr>
        <w:ind w:left="720" w:hanging="360"/>
      </w:pPr>
    </w:lvl>
    <w:lvl w:ilvl="1" w:tplc="BEA2EA2E">
      <w:start w:val="1"/>
      <w:numFmt w:val="lowerLetter"/>
      <w:lvlText w:val="%2."/>
      <w:lvlJc w:val="left"/>
      <w:pPr>
        <w:ind w:left="1440" w:hanging="360"/>
      </w:pPr>
    </w:lvl>
    <w:lvl w:ilvl="2" w:tplc="6BC00BA4">
      <w:start w:val="1"/>
      <w:numFmt w:val="lowerRoman"/>
      <w:lvlText w:val="%3."/>
      <w:lvlJc w:val="right"/>
      <w:pPr>
        <w:ind w:left="2160" w:hanging="180"/>
      </w:pPr>
    </w:lvl>
    <w:lvl w:ilvl="3" w:tplc="F38C02A4">
      <w:start w:val="1"/>
      <w:numFmt w:val="decimal"/>
      <w:lvlText w:val="%4."/>
      <w:lvlJc w:val="left"/>
      <w:pPr>
        <w:ind w:left="2880" w:hanging="360"/>
      </w:pPr>
    </w:lvl>
    <w:lvl w:ilvl="4" w:tplc="B0508076">
      <w:start w:val="1"/>
      <w:numFmt w:val="lowerLetter"/>
      <w:lvlText w:val="%5."/>
      <w:lvlJc w:val="left"/>
      <w:pPr>
        <w:ind w:left="3600" w:hanging="360"/>
      </w:pPr>
    </w:lvl>
    <w:lvl w:ilvl="5" w:tplc="BD66AB20">
      <w:start w:val="1"/>
      <w:numFmt w:val="lowerRoman"/>
      <w:lvlText w:val="%6."/>
      <w:lvlJc w:val="right"/>
      <w:pPr>
        <w:ind w:left="4320" w:hanging="180"/>
      </w:pPr>
    </w:lvl>
    <w:lvl w:ilvl="6" w:tplc="6D7CC7EC">
      <w:start w:val="1"/>
      <w:numFmt w:val="decimal"/>
      <w:lvlText w:val="%7."/>
      <w:lvlJc w:val="left"/>
      <w:pPr>
        <w:ind w:left="5040" w:hanging="360"/>
      </w:pPr>
    </w:lvl>
    <w:lvl w:ilvl="7" w:tplc="32683300">
      <w:start w:val="1"/>
      <w:numFmt w:val="lowerLetter"/>
      <w:lvlText w:val="%8."/>
      <w:lvlJc w:val="left"/>
      <w:pPr>
        <w:ind w:left="5760" w:hanging="360"/>
      </w:pPr>
    </w:lvl>
    <w:lvl w:ilvl="8" w:tplc="EE46A0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0E22"/>
    <w:multiLevelType w:val="hybridMultilevel"/>
    <w:tmpl w:val="B1B4D3CE"/>
    <w:lvl w:ilvl="0" w:tplc="FC28390A">
      <w:start w:val="1"/>
      <w:numFmt w:val="decimal"/>
      <w:lvlText w:val="%1."/>
      <w:lvlJc w:val="left"/>
      <w:pPr>
        <w:ind w:left="720" w:hanging="360"/>
      </w:pPr>
    </w:lvl>
    <w:lvl w:ilvl="1" w:tplc="8F00599A">
      <w:start w:val="1"/>
      <w:numFmt w:val="lowerLetter"/>
      <w:lvlText w:val="%2."/>
      <w:lvlJc w:val="left"/>
      <w:pPr>
        <w:ind w:left="1440" w:hanging="360"/>
      </w:pPr>
    </w:lvl>
    <w:lvl w:ilvl="2" w:tplc="C1AED7D4">
      <w:start w:val="1"/>
      <w:numFmt w:val="lowerRoman"/>
      <w:lvlText w:val="%3."/>
      <w:lvlJc w:val="right"/>
      <w:pPr>
        <w:ind w:left="2160" w:hanging="180"/>
      </w:pPr>
    </w:lvl>
    <w:lvl w:ilvl="3" w:tplc="870AF92A">
      <w:start w:val="1"/>
      <w:numFmt w:val="decimal"/>
      <w:lvlText w:val="%4."/>
      <w:lvlJc w:val="left"/>
      <w:pPr>
        <w:ind w:left="2880" w:hanging="360"/>
      </w:pPr>
    </w:lvl>
    <w:lvl w:ilvl="4" w:tplc="5AA83AE8">
      <w:start w:val="1"/>
      <w:numFmt w:val="lowerLetter"/>
      <w:lvlText w:val="%5."/>
      <w:lvlJc w:val="left"/>
      <w:pPr>
        <w:ind w:left="3600" w:hanging="360"/>
      </w:pPr>
    </w:lvl>
    <w:lvl w:ilvl="5" w:tplc="5DC26592">
      <w:start w:val="1"/>
      <w:numFmt w:val="lowerRoman"/>
      <w:lvlText w:val="%6."/>
      <w:lvlJc w:val="right"/>
      <w:pPr>
        <w:ind w:left="4320" w:hanging="180"/>
      </w:pPr>
    </w:lvl>
    <w:lvl w:ilvl="6" w:tplc="0BBEBAE4">
      <w:start w:val="1"/>
      <w:numFmt w:val="decimal"/>
      <w:lvlText w:val="%7."/>
      <w:lvlJc w:val="left"/>
      <w:pPr>
        <w:ind w:left="5040" w:hanging="360"/>
      </w:pPr>
    </w:lvl>
    <w:lvl w:ilvl="7" w:tplc="4C2A369C">
      <w:start w:val="1"/>
      <w:numFmt w:val="lowerLetter"/>
      <w:lvlText w:val="%8."/>
      <w:lvlJc w:val="left"/>
      <w:pPr>
        <w:ind w:left="5760" w:hanging="360"/>
      </w:pPr>
    </w:lvl>
    <w:lvl w:ilvl="8" w:tplc="4FBAE2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78A1"/>
    <w:multiLevelType w:val="hybridMultilevel"/>
    <w:tmpl w:val="F5AEAC58"/>
    <w:lvl w:ilvl="0" w:tplc="1F00C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8A5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3CCA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FC0A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F2A8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7E45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2C5C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C66F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7241B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3DD4900"/>
    <w:multiLevelType w:val="hybridMultilevel"/>
    <w:tmpl w:val="9078C61C"/>
    <w:lvl w:ilvl="0" w:tplc="B6EE4D00">
      <w:start w:val="1"/>
      <w:numFmt w:val="decimal"/>
      <w:lvlText w:val="%1."/>
      <w:lvlJc w:val="left"/>
      <w:pPr>
        <w:ind w:left="1204" w:hanging="495"/>
      </w:pPr>
    </w:lvl>
    <w:lvl w:ilvl="1" w:tplc="82486A1A">
      <w:start w:val="1"/>
      <w:numFmt w:val="lowerLetter"/>
      <w:lvlText w:val="%2."/>
      <w:lvlJc w:val="left"/>
      <w:pPr>
        <w:ind w:left="1789" w:hanging="360"/>
      </w:pPr>
    </w:lvl>
    <w:lvl w:ilvl="2" w:tplc="DFDA6A9E">
      <w:start w:val="1"/>
      <w:numFmt w:val="lowerRoman"/>
      <w:lvlText w:val="%3."/>
      <w:lvlJc w:val="right"/>
      <w:pPr>
        <w:ind w:left="2509" w:hanging="180"/>
      </w:pPr>
    </w:lvl>
    <w:lvl w:ilvl="3" w:tplc="A45289D0">
      <w:start w:val="1"/>
      <w:numFmt w:val="decimal"/>
      <w:lvlText w:val="%4."/>
      <w:lvlJc w:val="left"/>
      <w:pPr>
        <w:ind w:left="3229" w:hanging="360"/>
      </w:pPr>
    </w:lvl>
    <w:lvl w:ilvl="4" w:tplc="5ECC5214">
      <w:start w:val="1"/>
      <w:numFmt w:val="lowerLetter"/>
      <w:lvlText w:val="%5."/>
      <w:lvlJc w:val="left"/>
      <w:pPr>
        <w:ind w:left="3949" w:hanging="360"/>
      </w:pPr>
    </w:lvl>
    <w:lvl w:ilvl="5" w:tplc="1972871A">
      <w:start w:val="1"/>
      <w:numFmt w:val="lowerRoman"/>
      <w:lvlText w:val="%6."/>
      <w:lvlJc w:val="right"/>
      <w:pPr>
        <w:ind w:left="4669" w:hanging="180"/>
      </w:pPr>
    </w:lvl>
    <w:lvl w:ilvl="6" w:tplc="8FD44888">
      <w:start w:val="1"/>
      <w:numFmt w:val="decimal"/>
      <w:lvlText w:val="%7."/>
      <w:lvlJc w:val="left"/>
      <w:pPr>
        <w:ind w:left="5389" w:hanging="360"/>
      </w:pPr>
    </w:lvl>
    <w:lvl w:ilvl="7" w:tplc="FE1ADF0A">
      <w:start w:val="1"/>
      <w:numFmt w:val="lowerLetter"/>
      <w:lvlText w:val="%8."/>
      <w:lvlJc w:val="left"/>
      <w:pPr>
        <w:ind w:left="6109" w:hanging="360"/>
      </w:pPr>
    </w:lvl>
    <w:lvl w:ilvl="8" w:tplc="34A85D3A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994A3A"/>
    <w:multiLevelType w:val="hybridMultilevel"/>
    <w:tmpl w:val="C3566AE6"/>
    <w:lvl w:ilvl="0" w:tplc="55C27B72">
      <w:start w:val="1"/>
      <w:numFmt w:val="decimal"/>
      <w:lvlText w:val="%1."/>
      <w:lvlJc w:val="left"/>
      <w:pPr>
        <w:ind w:left="1068" w:hanging="360"/>
      </w:pPr>
    </w:lvl>
    <w:lvl w:ilvl="1" w:tplc="3186380A">
      <w:start w:val="1"/>
      <w:numFmt w:val="lowerLetter"/>
      <w:lvlText w:val="%2."/>
      <w:lvlJc w:val="left"/>
      <w:pPr>
        <w:ind w:left="1788" w:hanging="360"/>
      </w:pPr>
    </w:lvl>
    <w:lvl w:ilvl="2" w:tplc="365495F4">
      <w:start w:val="1"/>
      <w:numFmt w:val="lowerRoman"/>
      <w:lvlText w:val="%3."/>
      <w:lvlJc w:val="right"/>
      <w:pPr>
        <w:ind w:left="2508" w:hanging="180"/>
      </w:pPr>
    </w:lvl>
    <w:lvl w:ilvl="3" w:tplc="5A24A8BA">
      <w:start w:val="1"/>
      <w:numFmt w:val="decimal"/>
      <w:lvlText w:val="%4."/>
      <w:lvlJc w:val="left"/>
      <w:pPr>
        <w:ind w:left="3228" w:hanging="360"/>
      </w:pPr>
    </w:lvl>
    <w:lvl w:ilvl="4" w:tplc="51C213C8">
      <w:start w:val="1"/>
      <w:numFmt w:val="lowerLetter"/>
      <w:lvlText w:val="%5."/>
      <w:lvlJc w:val="left"/>
      <w:pPr>
        <w:ind w:left="3948" w:hanging="360"/>
      </w:pPr>
    </w:lvl>
    <w:lvl w:ilvl="5" w:tplc="5B681400">
      <w:start w:val="1"/>
      <w:numFmt w:val="lowerRoman"/>
      <w:lvlText w:val="%6."/>
      <w:lvlJc w:val="right"/>
      <w:pPr>
        <w:ind w:left="4668" w:hanging="180"/>
      </w:pPr>
    </w:lvl>
    <w:lvl w:ilvl="6" w:tplc="9CFAD1DC">
      <w:start w:val="1"/>
      <w:numFmt w:val="decimal"/>
      <w:lvlText w:val="%7."/>
      <w:lvlJc w:val="left"/>
      <w:pPr>
        <w:ind w:left="5388" w:hanging="360"/>
      </w:pPr>
    </w:lvl>
    <w:lvl w:ilvl="7" w:tplc="7518BD74">
      <w:start w:val="1"/>
      <w:numFmt w:val="lowerLetter"/>
      <w:lvlText w:val="%8."/>
      <w:lvlJc w:val="left"/>
      <w:pPr>
        <w:ind w:left="6108" w:hanging="360"/>
      </w:pPr>
    </w:lvl>
    <w:lvl w:ilvl="8" w:tplc="8F9CD33C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171D4C"/>
    <w:multiLevelType w:val="hybridMultilevel"/>
    <w:tmpl w:val="41303062"/>
    <w:lvl w:ilvl="0" w:tplc="96CA3218">
      <w:start w:val="1"/>
      <w:numFmt w:val="decimal"/>
      <w:lvlText w:val="%1."/>
      <w:lvlJc w:val="left"/>
      <w:pPr>
        <w:ind w:left="1069" w:hanging="360"/>
      </w:pPr>
    </w:lvl>
    <w:lvl w:ilvl="1" w:tplc="4B160066">
      <w:start w:val="1"/>
      <w:numFmt w:val="lowerLetter"/>
      <w:lvlText w:val="%2."/>
      <w:lvlJc w:val="left"/>
      <w:pPr>
        <w:ind w:left="1789" w:hanging="360"/>
      </w:pPr>
    </w:lvl>
    <w:lvl w:ilvl="2" w:tplc="8F1EEC2C">
      <w:start w:val="1"/>
      <w:numFmt w:val="lowerRoman"/>
      <w:lvlText w:val="%3."/>
      <w:lvlJc w:val="right"/>
      <w:pPr>
        <w:ind w:left="2509" w:hanging="180"/>
      </w:pPr>
    </w:lvl>
    <w:lvl w:ilvl="3" w:tplc="F33E3284">
      <w:start w:val="1"/>
      <w:numFmt w:val="decimal"/>
      <w:lvlText w:val="%4."/>
      <w:lvlJc w:val="left"/>
      <w:pPr>
        <w:ind w:left="3229" w:hanging="360"/>
      </w:pPr>
    </w:lvl>
    <w:lvl w:ilvl="4" w:tplc="5324DB2E">
      <w:start w:val="1"/>
      <w:numFmt w:val="lowerLetter"/>
      <w:lvlText w:val="%5."/>
      <w:lvlJc w:val="left"/>
      <w:pPr>
        <w:ind w:left="3949" w:hanging="360"/>
      </w:pPr>
    </w:lvl>
    <w:lvl w:ilvl="5" w:tplc="17FEE09A">
      <w:start w:val="1"/>
      <w:numFmt w:val="lowerRoman"/>
      <w:lvlText w:val="%6."/>
      <w:lvlJc w:val="right"/>
      <w:pPr>
        <w:ind w:left="4669" w:hanging="180"/>
      </w:pPr>
    </w:lvl>
    <w:lvl w:ilvl="6" w:tplc="1B7E39C8">
      <w:start w:val="1"/>
      <w:numFmt w:val="decimal"/>
      <w:lvlText w:val="%7."/>
      <w:lvlJc w:val="left"/>
      <w:pPr>
        <w:ind w:left="5389" w:hanging="360"/>
      </w:pPr>
    </w:lvl>
    <w:lvl w:ilvl="7" w:tplc="191C88CE">
      <w:start w:val="1"/>
      <w:numFmt w:val="lowerLetter"/>
      <w:lvlText w:val="%8."/>
      <w:lvlJc w:val="left"/>
      <w:pPr>
        <w:ind w:left="6109" w:hanging="360"/>
      </w:pPr>
    </w:lvl>
    <w:lvl w:ilvl="8" w:tplc="D5A4B4A2">
      <w:start w:val="1"/>
      <w:numFmt w:val="lowerRoman"/>
      <w:lvlText w:val="%9."/>
      <w:lvlJc w:val="right"/>
      <w:pPr>
        <w:ind w:left="6829" w:hanging="180"/>
      </w:pPr>
    </w:lvl>
  </w:abstractNum>
  <w:num w:numId="1" w16cid:durableId="1366052861">
    <w:abstractNumId w:val="8"/>
  </w:num>
  <w:num w:numId="2" w16cid:durableId="1545024067">
    <w:abstractNumId w:val="7"/>
  </w:num>
  <w:num w:numId="3" w16cid:durableId="269165972">
    <w:abstractNumId w:val="6"/>
  </w:num>
  <w:num w:numId="4" w16cid:durableId="130026785">
    <w:abstractNumId w:val="5"/>
  </w:num>
  <w:num w:numId="5" w16cid:durableId="1067731615">
    <w:abstractNumId w:val="11"/>
  </w:num>
  <w:num w:numId="6" w16cid:durableId="2119985016">
    <w:abstractNumId w:val="9"/>
  </w:num>
  <w:num w:numId="7" w16cid:durableId="388117108">
    <w:abstractNumId w:val="1"/>
  </w:num>
  <w:num w:numId="8" w16cid:durableId="362558521">
    <w:abstractNumId w:val="4"/>
  </w:num>
  <w:num w:numId="9" w16cid:durableId="57437709">
    <w:abstractNumId w:val="3"/>
  </w:num>
  <w:num w:numId="10" w16cid:durableId="448359058">
    <w:abstractNumId w:val="2"/>
  </w:num>
  <w:num w:numId="11" w16cid:durableId="1980918950">
    <w:abstractNumId w:val="0"/>
  </w:num>
  <w:num w:numId="12" w16cid:durableId="2096584115">
    <w:abstractNumId w:val="12"/>
  </w:num>
  <w:num w:numId="13" w16cid:durableId="756252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2B"/>
    <w:rsid w:val="00740AC4"/>
    <w:rsid w:val="007960D3"/>
    <w:rsid w:val="00BA661E"/>
    <w:rsid w:val="00BE68B0"/>
    <w:rsid w:val="00D0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7FAE"/>
  <w15:docId w15:val="{4766E53A-D497-4A73-BDAF-19F569B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/>
      <w:ind w:left="720"/>
      <w:contextualSpacing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rPr>
      <w:sz w:val="28"/>
      <w:szCs w:val="28"/>
      <w:lang w:val="ru-RU" w:eastAsia="ru-RU" w:bidi="ar-SA"/>
    </w:rPr>
  </w:style>
  <w:style w:type="paragraph" w:styleId="25">
    <w:name w:val="Body Text 2"/>
    <w:basedOn w:val="a"/>
    <w:link w:val="26"/>
    <w:pPr>
      <w:jc w:val="both"/>
    </w:pPr>
  </w:style>
  <w:style w:type="character" w:customStyle="1" w:styleId="26">
    <w:name w:val="Основной текст 2 Знак"/>
    <w:link w:val="25"/>
    <w:rPr>
      <w:sz w:val="28"/>
      <w:szCs w:val="28"/>
      <w:lang w:val="ru-RU" w:eastAsia="ru-RU" w:bidi="ar-SA"/>
    </w:rPr>
  </w:style>
  <w:style w:type="paragraph" w:styleId="33">
    <w:name w:val="Body Text 3"/>
    <w:basedOn w:val="a"/>
    <w:link w:val="34"/>
    <w:pPr>
      <w:jc w:val="center"/>
    </w:pPr>
    <w:rPr>
      <w:b/>
      <w:bCs/>
    </w:rPr>
  </w:style>
  <w:style w:type="character" w:customStyle="1" w:styleId="34">
    <w:name w:val="Основной текст 3 Знак"/>
    <w:link w:val="33"/>
    <w:rPr>
      <w:b/>
      <w:bCs/>
      <w:sz w:val="28"/>
      <w:szCs w:val="28"/>
      <w:lang w:val="ru-RU" w:eastAsia="ru-RU" w:bidi="ar-SA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b">
    <w:name w:val="Block Text"/>
    <w:basedOn w:val="a"/>
    <w:pPr>
      <w:tabs>
        <w:tab w:val="left" w:pos="2552"/>
      </w:tabs>
      <w:ind w:left="1701" w:right="-369" w:hanging="2694"/>
      <w:jc w:val="both"/>
    </w:pPr>
    <w:rPr>
      <w:szCs w:val="20"/>
    </w:rPr>
  </w:style>
  <w:style w:type="character" w:customStyle="1" w:styleId="43">
    <w:name w:val="Знак Знак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spacing w:line="372" w:lineRule="exact"/>
      <w:ind w:firstLine="701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character" w:customStyle="1" w:styleId="ae">
    <w:name w:val="Нижний колонтитул Знак"/>
    <w:link w:val="ad"/>
    <w:uiPriority w:val="9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АГНОиПНО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sna</dc:creator>
  <cp:lastModifiedBy>Орлова Гузалия Шакуровна</cp:lastModifiedBy>
  <cp:revision>2</cp:revision>
  <dcterms:created xsi:type="dcterms:W3CDTF">2023-05-16T11:18:00Z</dcterms:created>
  <dcterms:modified xsi:type="dcterms:W3CDTF">2023-05-16T11:18:00Z</dcterms:modified>
  <cp:version>1048576</cp:version>
</cp:coreProperties>
</file>